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RAN 12</w:t>
      </w:r>
      <w:r>
        <w:rPr>
          <w:rFonts w:hint="eastAsia"/>
          <w:b/>
          <w:color w:val="000000" w:themeColor="text1"/>
          <w:kern w:val="2"/>
          <w:lang w:val="en-US" w:eastAsia="zh-CN"/>
          <w14:textFill>
            <w14:solidFill>
              <w14:schemeClr w14:val="tx1"/>
            </w14:solidFill>
          </w14:textFill>
        </w:rPr>
        <w:t>2</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auto"/>
          <w:kern w:val="2"/>
          <w:lang w:val="en-US" w:eastAsia="zh-CN"/>
        </w:rPr>
        <w:t>2505284</w:t>
      </w:r>
    </w:p>
    <w:p w14:paraId="1CD99804">
      <w:pPr>
        <w:tabs>
          <w:tab w:val="right" w:pos="9216"/>
        </w:tabs>
        <w:spacing w:after="60"/>
        <w:rPr>
          <w:b/>
          <w:kern w:val="2"/>
          <w:szCs w:val="28"/>
          <w:lang w:eastAsia="zh-CN"/>
        </w:rPr>
      </w:pPr>
      <w:bookmarkStart w:id="0" w:name="_Hlk145941502"/>
      <w:r>
        <w:rPr>
          <w:b/>
          <w:kern w:val="2"/>
          <w:szCs w:val="28"/>
          <w:lang w:eastAsia="zh-CN"/>
        </w:rPr>
        <w:fldChar w:fldCharType="begin"/>
      </w:r>
      <w:r>
        <w:rPr>
          <w:b/>
          <w:kern w:val="2"/>
          <w:szCs w:val="28"/>
          <w:lang w:eastAsia="zh-CN"/>
        </w:rPr>
        <w:instrText xml:space="preserve"> HYPERLINK "https://www.3gpp.org//ftp/tsg_ran/WG1_RL1/TSGR1_122/Invitation/" \t "https://www.3gpp.org/_blank" </w:instrText>
      </w:r>
      <w:r>
        <w:rPr>
          <w:b/>
          <w:kern w:val="2"/>
          <w:szCs w:val="28"/>
          <w:lang w:eastAsia="zh-CN"/>
        </w:rPr>
        <w:fldChar w:fldCharType="separate"/>
      </w:r>
      <w:r>
        <w:rPr>
          <w:rFonts w:hint="default"/>
          <w:b/>
          <w:kern w:val="2"/>
          <w:szCs w:val="28"/>
          <w:lang w:eastAsia="zh-CN"/>
        </w:rPr>
        <w:t>Bengaluru</w:t>
      </w:r>
      <w:r>
        <w:rPr>
          <w:rFonts w:hint="default"/>
          <w:b/>
          <w:kern w:val="2"/>
          <w:szCs w:val="28"/>
          <w:lang w:eastAsia="zh-CN"/>
        </w:rPr>
        <w:fldChar w:fldCharType="end"/>
      </w:r>
      <w:r>
        <w:rPr>
          <w:b/>
          <w:kern w:val="2"/>
          <w:szCs w:val="28"/>
          <w:lang w:eastAsia="zh-CN"/>
        </w:rPr>
        <w:t xml:space="preserve">, </w:t>
      </w:r>
      <w:r>
        <w:rPr>
          <w:rFonts w:hint="eastAsia"/>
          <w:b/>
          <w:kern w:val="2"/>
          <w:szCs w:val="28"/>
          <w:lang w:val="en-US" w:eastAsia="zh-CN"/>
        </w:rPr>
        <w:t>India</w:t>
      </w:r>
      <w:r>
        <w:rPr>
          <w:b/>
          <w:kern w:val="2"/>
          <w:szCs w:val="28"/>
          <w:lang w:eastAsia="zh-CN"/>
        </w:rPr>
        <w:t xml:space="preserve">, </w:t>
      </w:r>
      <w:r>
        <w:rPr>
          <w:rFonts w:hint="eastAsia"/>
          <w:b/>
          <w:kern w:val="2"/>
          <w:szCs w:val="28"/>
          <w:lang w:val="en-US" w:eastAsia="zh-CN"/>
        </w:rPr>
        <w:t>Aug</w:t>
      </w:r>
      <w:r>
        <w:rPr>
          <w:b/>
          <w:kern w:val="2"/>
          <w:szCs w:val="28"/>
          <w:lang w:eastAsia="zh-CN"/>
        </w:rPr>
        <w:t xml:space="preserve"> </w:t>
      </w:r>
      <w:r>
        <w:rPr>
          <w:rFonts w:hint="eastAsia"/>
          <w:b/>
          <w:kern w:val="2"/>
          <w:szCs w:val="28"/>
          <w:lang w:val="en-US" w:eastAsia="zh-CN"/>
        </w:rPr>
        <w:t>25</w:t>
      </w:r>
      <w:r>
        <w:rPr>
          <w:b/>
          <w:kern w:val="2"/>
          <w:szCs w:val="28"/>
          <w:lang w:eastAsia="zh-CN"/>
        </w:rPr>
        <w:t>– 2</w:t>
      </w:r>
      <w:r>
        <w:rPr>
          <w:rFonts w:hint="eastAsia"/>
          <w:b/>
          <w:kern w:val="2"/>
          <w:szCs w:val="28"/>
          <w:lang w:val="en-US" w:eastAsia="zh-CN"/>
        </w:rPr>
        <w:t>9</w:t>
      </w:r>
      <w:r>
        <w:rPr>
          <w:b/>
          <w:kern w:val="2"/>
          <w:szCs w:val="28"/>
          <w:lang w:eastAsia="zh-CN"/>
        </w:rPr>
        <w:t>, 202</w:t>
      </w:r>
      <w:bookmarkEnd w:id="0"/>
      <w:r>
        <w:rPr>
          <w:b/>
          <w:kern w:val="2"/>
          <w:szCs w:val="28"/>
          <w:lang w:eastAsia="zh-CN"/>
        </w:rPr>
        <w:t>5</w:t>
      </w:r>
    </w:p>
    <w:p w14:paraId="65EC0AA1">
      <w:pPr>
        <w:pBdr>
          <w:top w:val="single" w:color="auto" w:sz="4" w:space="1"/>
        </w:pBdr>
        <w:spacing w:after="0"/>
        <w:rPr>
          <w:b/>
          <w:kern w:val="2"/>
          <w:sz w:val="16"/>
          <w:szCs w:val="16"/>
          <w:lang w:eastAsia="zh-CN"/>
        </w:rPr>
      </w:pPr>
    </w:p>
    <w:p w14:paraId="0A4EFCBE">
      <w:pPr>
        <w:tabs>
          <w:tab w:val="left" w:pos="2569"/>
        </w:tabs>
        <w:spacing w:after="60"/>
        <w:ind w:left="1555" w:hanging="1555"/>
        <w:rPr>
          <w:b/>
          <w:kern w:val="2"/>
          <w:lang w:eastAsia="zh-CN"/>
        </w:rPr>
      </w:pPr>
      <w:r>
        <w:rPr>
          <w:b/>
          <w:kern w:val="2"/>
          <w:lang w:eastAsia="zh-CN"/>
        </w:rPr>
        <w:t>Agenda Item:</w:t>
      </w:r>
      <w:r>
        <w:rPr>
          <w:b/>
          <w:kern w:val="2"/>
          <w:lang w:eastAsia="zh-CN"/>
        </w:rPr>
        <w:tab/>
      </w:r>
      <w:r>
        <w:rPr>
          <w:rFonts w:hint="eastAsia"/>
          <w:b/>
          <w:kern w:val="2"/>
          <w:lang w:val="en-US" w:eastAsia="zh-CN"/>
        </w:rPr>
        <w:t>10</w:t>
      </w:r>
      <w:r>
        <w:rPr>
          <w:rFonts w:hint="eastAsia"/>
          <w:b/>
          <w:kern w:val="2"/>
          <w:lang w:eastAsia="zh-CN"/>
        </w:rPr>
        <w:t>.</w:t>
      </w:r>
      <w:r>
        <w:rPr>
          <w:rFonts w:hint="eastAsia"/>
          <w:b/>
          <w:kern w:val="2"/>
          <w:lang w:val="en-US" w:eastAsia="zh-CN"/>
        </w:rPr>
        <w:t>2</w:t>
      </w:r>
      <w:r>
        <w:rPr>
          <w:rFonts w:hint="eastAsia"/>
          <w:b/>
          <w:kern w:val="2"/>
          <w:lang w:eastAsia="zh-CN"/>
        </w:rPr>
        <w:t>.</w:t>
      </w:r>
      <w:r>
        <w:rPr>
          <w:rFonts w:hint="eastAsia"/>
          <w:b/>
          <w:kern w:val="2"/>
          <w:lang w:val="en-US" w:eastAsia="zh-CN"/>
        </w:rPr>
        <w:t>2</w:t>
      </w:r>
      <w:r>
        <w:rPr>
          <w:rFonts w:hint="eastAsia"/>
          <w:b/>
          <w:kern w:val="2"/>
          <w:lang w:eastAsia="zh-CN"/>
        </w:rPr>
        <w:tab/>
      </w:r>
    </w:p>
    <w:p w14:paraId="1342BDBF">
      <w:pPr>
        <w:spacing w:after="60"/>
        <w:ind w:left="1555" w:hanging="1555"/>
        <w:rPr>
          <w:b/>
          <w:kern w:val="2"/>
          <w:lang w:eastAsia="zh-CN"/>
        </w:rPr>
      </w:pPr>
      <w:r>
        <w:rPr>
          <w:b/>
          <w:kern w:val="2"/>
          <w:lang w:eastAsia="zh-CN"/>
        </w:rPr>
        <w:t>Source:</w:t>
      </w:r>
      <w:r>
        <w:rPr>
          <w:b/>
          <w:kern w:val="2"/>
          <w:lang w:eastAsia="zh-CN"/>
        </w:rPr>
        <w:tab/>
      </w:r>
      <w:r>
        <w:rPr>
          <w:rFonts w:hint="eastAsia"/>
          <w:b/>
          <w:kern w:val="2"/>
          <w:lang w:eastAsia="zh-CN"/>
        </w:rPr>
        <w:t>TCL</w:t>
      </w:r>
    </w:p>
    <w:p w14:paraId="02760F20">
      <w:pPr>
        <w:spacing w:after="60"/>
        <w:ind w:left="1555" w:hanging="1555"/>
        <w:rPr>
          <w:rFonts w:hint="eastAsia"/>
          <w:b/>
          <w:kern w:val="2"/>
          <w:lang w:eastAsia="zh-CN"/>
        </w:rPr>
      </w:pPr>
      <w:r>
        <w:rPr>
          <w:b/>
          <w:kern w:val="2"/>
          <w:lang w:eastAsia="zh-CN"/>
        </w:rPr>
        <w:t>Title:</w:t>
      </w:r>
      <w:r>
        <w:rPr>
          <w:b/>
          <w:kern w:val="2"/>
          <w:lang w:eastAsia="zh-CN"/>
        </w:rPr>
        <w:tab/>
      </w:r>
      <w:r>
        <w:rPr>
          <w:rFonts w:hint="eastAsia"/>
          <w:b/>
          <w:kern w:val="2"/>
          <w:lang w:eastAsia="zh-CN"/>
        </w:rPr>
        <w:t>Enhancing DL CSI acquisition</w:t>
      </w:r>
    </w:p>
    <w:p w14:paraId="062EDDB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4EFCC44C">
      <w:pPr>
        <w:pBdr>
          <w:bottom w:val="single" w:color="auto" w:sz="4" w:space="1"/>
        </w:pBdr>
        <w:spacing w:after="0"/>
        <w:rPr>
          <w:b/>
          <w:kern w:val="2"/>
          <w:sz w:val="16"/>
          <w:szCs w:val="16"/>
          <w:lang w:eastAsia="zh-CN"/>
        </w:rPr>
      </w:pPr>
    </w:p>
    <w:p w14:paraId="52036A05">
      <w:pPr>
        <w:pStyle w:val="2"/>
      </w:pPr>
      <w:bookmarkStart w:id="1" w:name="_Ref129681862"/>
      <w:bookmarkStart w:id="2" w:name="_Ref124589705"/>
      <w:r>
        <w:rPr>
          <w:rFonts w:hint="eastAsia"/>
          <w:lang w:eastAsia="zh-CN"/>
        </w:rPr>
        <w:t xml:space="preserve"> </w:t>
      </w:r>
      <w:r>
        <w:t>Introduction</w:t>
      </w:r>
      <w:bookmarkEnd w:id="1"/>
      <w:bookmarkEnd w:id="2"/>
    </w:p>
    <w:p w14:paraId="4050F06C">
      <w:pPr>
        <w:rPr>
          <w:rFonts w:hint="default" w:ascii="Times New Roman" w:hAnsi="Times New Roman" w:eastAsia="宋体" w:cs="Times New Roman"/>
          <w:lang w:val="en-US" w:eastAsia="zh-CN"/>
        </w:rPr>
      </w:pPr>
      <w:r>
        <w:rPr>
          <w:rFonts w:hint="eastAsia" w:ascii="Times New Roman" w:hAnsi="Times New Roman" w:eastAsia="宋体" w:cs="Times New Roman"/>
          <w:lang w:eastAsia="zh-CN"/>
        </w:rPr>
        <w:t>Based on the discussion at the RAN#10</w:t>
      </w:r>
      <w:r>
        <w:rPr>
          <w:rFonts w:hint="eastAsia" w:cs="Times New Roman"/>
          <w:lang w:val="en-US" w:eastAsia="zh-CN"/>
        </w:rPr>
        <w:t>8</w:t>
      </w:r>
      <w:r>
        <w:rPr>
          <w:rFonts w:hint="eastAsia" w:ascii="Times New Roman" w:hAnsi="Times New Roman" w:eastAsia="宋体" w:cs="Times New Roman"/>
          <w:lang w:eastAsia="zh-CN"/>
        </w:rPr>
        <w:t xml:space="preserve"> meeting</w:t>
      </w:r>
      <w:r>
        <w:rPr>
          <w:rFonts w:hint="eastAsia" w:ascii="Times New Roman" w:hAnsi="Times New Roman" w:eastAsia="宋体" w:cs="Times New Roman"/>
          <w:lang w:val="en-US" w:eastAsia="zh-CN"/>
        </w:rPr>
        <w:t xml:space="preserve"> [1]</w:t>
      </w:r>
      <w:r>
        <w:rPr>
          <w:rFonts w:hint="eastAsia" w:ascii="Times New Roman" w:hAnsi="Times New Roman" w:eastAsia="宋体" w:cs="Times New Roman"/>
          <w:lang w:eastAsia="zh-CN"/>
        </w:rPr>
        <w:t xml:space="preserve">, </w:t>
      </w:r>
      <w:r>
        <w:rPr>
          <w:rFonts w:hint="eastAsia" w:cs="Times New Roman"/>
          <w:lang w:val="en-US" w:eastAsia="zh-CN"/>
        </w:rPr>
        <w:t xml:space="preserve">the main objectives on enhancing DL CSI acquisition as presented as follows: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612B2CD">
            <w:pPr>
              <w:keepNext w:val="0"/>
              <w:keepLines w:val="0"/>
              <w:widowControl w:val="0"/>
              <w:suppressLineNumbers w:val="0"/>
              <w:spacing w:before="0" w:beforeAutospacing="0" w:after="0" w:afterAutospacing="0"/>
              <w:ind w:left="420" w:right="0"/>
              <w:rPr>
                <w:rFonts w:hint="eastAsia"/>
                <w:lang w:eastAsia="zh-CN"/>
              </w:rPr>
            </w:pPr>
            <w:r>
              <w:rPr>
                <w:rFonts w:hint="eastAsia"/>
                <w:lang w:val="en-US" w:eastAsia="zh-CN"/>
              </w:rPr>
              <w:t xml:space="preserve"> </w:t>
            </w:r>
          </w:p>
          <w:p w14:paraId="7DE75A82">
            <w:pPr>
              <w:keepNext w:val="0"/>
              <w:keepLines w:val="0"/>
              <w:widowControl w:val="0"/>
              <w:numPr>
                <w:ilvl w:val="0"/>
                <w:numId w:val="6"/>
              </w:numPr>
              <w:suppressLineNumbers w:val="0"/>
              <w:tabs>
                <w:tab w:val="clear" w:pos="720"/>
              </w:tabs>
              <w:overflowPunct/>
              <w:autoSpaceDE/>
              <w:autoSpaceDN/>
              <w:adjustRightInd/>
              <w:snapToGrid w:val="0"/>
              <w:spacing w:before="0" w:beforeAutospacing="0" w:after="0" w:afterAutospacing="0"/>
              <w:ind w:left="360" w:right="0"/>
              <w:textAlignment w:val="auto"/>
              <w:rPr>
                <w:rFonts w:hint="eastAsia"/>
              </w:rPr>
            </w:pPr>
            <w:r>
              <w:rPr>
                <w:rFonts w:hint="eastAsia"/>
              </w:rPr>
              <w:t>On enhancing DL CSI acquisition, targeting FR1, specify the following enhancements:</w:t>
            </w:r>
          </w:p>
          <w:p w14:paraId="322B3634">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rPr>
            </w:pPr>
            <w:r>
              <w:rPr>
                <w:rFonts w:hint="eastAsia"/>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ACF7A4">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color w:val="auto"/>
                <w:highlight w:val="none"/>
              </w:rPr>
            </w:pPr>
            <w:r>
              <w:rPr>
                <w:rFonts w:hint="eastAsia"/>
                <w:color w:val="auto"/>
                <w:highlight w:val="none"/>
              </w:rPr>
              <w:t xml:space="preserve">Reusing the legacy design, limit the scope </w:t>
            </w:r>
            <w:r>
              <w:rPr>
                <w:rFonts w:hint="eastAsia"/>
                <w:i/>
                <w:color w:val="auto"/>
                <w:highlight w:val="none"/>
              </w:rPr>
              <w:t>only</w:t>
            </w:r>
            <w:r>
              <w:rPr>
                <w:rFonts w:hint="eastAsia"/>
                <w:color w:val="auto"/>
                <w:highlight w:val="none"/>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8B82259">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eastAsia="宋体"/>
                <w:color w:val="auto"/>
                <w:highlight w:val="none"/>
                <w:lang w:eastAsia="zh-CN"/>
              </w:rPr>
            </w:pPr>
            <w:r>
              <w:rPr>
                <w:rFonts w:hint="eastAsia"/>
                <w:color w:val="auto"/>
                <w:highlight w:val="none"/>
              </w:rPr>
              <w:t>For IDLE mode, UE capability for early triggering and resource/reporting configuration are signaled via MSG3 and System Information (SI), respectively</w:t>
            </w:r>
          </w:p>
          <w:p w14:paraId="4FDE1D36">
            <w:pPr>
              <w:keepNext w:val="0"/>
              <w:keepLines w:val="0"/>
              <w:widowControl w:val="0"/>
              <w:numPr>
                <w:numId w:val="0"/>
              </w:numPr>
              <w:suppressLineNumbers w:val="0"/>
              <w:overflowPunct/>
              <w:autoSpaceDE/>
              <w:autoSpaceDN/>
              <w:adjustRightInd/>
              <w:snapToGrid w:val="0"/>
              <w:spacing w:before="0" w:beforeAutospacing="0" w:after="0" w:afterAutospacing="0"/>
              <w:ind w:right="0" w:rightChars="0"/>
              <w:jc w:val="both"/>
              <w:textAlignment w:val="auto"/>
              <w:rPr>
                <w:rFonts w:hint="eastAsia"/>
                <w:color w:val="auto"/>
                <w:highlight w:val="none"/>
              </w:rPr>
            </w:pPr>
          </w:p>
          <w:p w14:paraId="2C56A3D2">
            <w:pPr>
              <w:numPr>
                <w:ilvl w:val="1"/>
                <w:numId w:val="6"/>
              </w:numPr>
              <w:tabs>
                <w:tab w:val="clear" w:pos="1440"/>
              </w:tabs>
              <w:overflowPunct/>
              <w:autoSpaceDE/>
              <w:autoSpaceDN/>
              <w:adjustRightInd/>
              <w:snapToGrid w:val="0"/>
              <w:spacing w:after="0"/>
              <w:ind w:left="720"/>
              <w:textAlignment w:val="auto"/>
              <w:rPr>
                <w:color w:val="auto"/>
                <w:highlight w:val="none"/>
              </w:rPr>
            </w:pPr>
            <w:r>
              <w:rPr>
                <w:color w:val="auto"/>
                <w:szCs w:val="22"/>
                <w:highlight w:val="none"/>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2E22644">
            <w:pPr>
              <w:numPr>
                <w:ilvl w:val="2"/>
                <w:numId w:val="6"/>
              </w:numPr>
              <w:tabs>
                <w:tab w:val="clear" w:pos="2160"/>
              </w:tabs>
              <w:overflowPunct/>
              <w:autoSpaceDE/>
              <w:autoSpaceDN/>
              <w:adjustRightInd/>
              <w:snapToGrid w:val="0"/>
              <w:spacing w:after="0"/>
              <w:ind w:left="1080"/>
              <w:textAlignment w:val="auto"/>
            </w:pPr>
            <w:r>
              <w:t>Density of 1/3 and 1/6 RE/RB/port are intended only for 48 ports</w:t>
            </w:r>
          </w:p>
          <w:p w14:paraId="6C280E2C">
            <w:pPr>
              <w:keepNext w:val="0"/>
              <w:keepLines w:val="0"/>
              <w:widowControl w:val="0"/>
              <w:numPr>
                <w:numId w:val="0"/>
              </w:numPr>
              <w:suppressLineNumbers w:val="0"/>
              <w:overflowPunct/>
              <w:autoSpaceDE/>
              <w:autoSpaceDN/>
              <w:adjustRightInd/>
              <w:snapToGrid w:val="0"/>
              <w:spacing w:before="0" w:beforeAutospacing="0" w:after="0" w:afterAutospacing="0"/>
              <w:ind w:right="0" w:rightChars="0"/>
              <w:jc w:val="both"/>
              <w:textAlignment w:val="auto"/>
              <w:rPr>
                <w:rFonts w:hint="eastAsia"/>
                <w:lang w:eastAsia="zh-CN"/>
              </w:rPr>
            </w:pPr>
          </w:p>
          <w:p w14:paraId="05833E44">
            <w:pPr>
              <w:keepNext w:val="0"/>
              <w:keepLines w:val="0"/>
              <w:widowControl w:val="0"/>
              <w:suppressLineNumbers w:val="0"/>
              <w:spacing w:before="0" w:beforeAutospacing="0" w:after="0" w:afterAutospacing="0"/>
              <w:ind w:right="0"/>
              <w:rPr>
                <w:rFonts w:hint="eastAsia"/>
                <w:lang w:eastAsia="zh-CN"/>
              </w:rPr>
            </w:pPr>
          </w:p>
        </w:tc>
      </w:tr>
    </w:tbl>
    <w:p w14:paraId="49CEE0C6">
      <w:pPr>
        <w:rPr>
          <w:lang w:eastAsia="zh-CN"/>
        </w:rPr>
      </w:pPr>
    </w:p>
    <w:p w14:paraId="5B5CE1BF">
      <w:pPr>
        <w:rPr>
          <w:lang w:eastAsia="zh-CN"/>
        </w:rPr>
      </w:pPr>
      <w:r>
        <w:rPr>
          <w:lang w:eastAsia="zh-CN"/>
        </w:rPr>
        <w:t>In this contribution, we provide our views on</w:t>
      </w:r>
      <w:r>
        <w:rPr>
          <w:rFonts w:hint="eastAsia"/>
          <w:lang w:val="en-US" w:eastAsia="zh-CN"/>
        </w:rPr>
        <w:t xml:space="preserve"> the following two sections: the first one is for e</w:t>
      </w:r>
      <w:r>
        <w:rPr>
          <w:szCs w:val="22"/>
        </w:rPr>
        <w:t>arly SRS/CSI/CSI-RS triggering for UE transitioning from IDLE/INACTIVE to CONNECTED mode via MSG4 of 4-step RACH, as well as for SCell activation and switching out of SCell dormancy in CONNECTED mode via the le</w:t>
      </w:r>
      <w:bookmarkStart w:id="8" w:name="_GoBack"/>
      <w:bookmarkEnd w:id="8"/>
      <w:r>
        <w:rPr>
          <w:szCs w:val="22"/>
        </w:rPr>
        <w:t>gacy signaling mechanisms</w:t>
      </w:r>
    </w:p>
    <w:p w14:paraId="517EF38F">
      <w:pPr>
        <w:rPr>
          <w:lang w:eastAsia="zh-CN"/>
        </w:rPr>
      </w:pPr>
    </w:p>
    <w:p w14:paraId="0E52A63F">
      <w:pPr>
        <w:pStyle w:val="2"/>
        <w:rPr>
          <w:lang w:eastAsia="zh-CN"/>
        </w:rPr>
      </w:pPr>
      <w:bookmarkStart w:id="3" w:name="OLE_LINK7"/>
      <w:r>
        <w:rPr>
          <w:rFonts w:hint="eastAsia"/>
          <w:lang w:val="en-US" w:eastAsia="zh-CN"/>
        </w:rPr>
        <w:t xml:space="preserve"> Discussion</w:t>
      </w:r>
    </w:p>
    <w:p w14:paraId="6C12795F">
      <w:pPr>
        <w:rPr>
          <w:rFonts w:hint="default" w:eastAsia="宋体"/>
          <w:lang w:val="en-US" w:eastAsia="zh-CN"/>
        </w:rPr>
      </w:pPr>
      <w:r>
        <w:rPr>
          <w:rFonts w:hint="eastAsia"/>
          <w:lang w:eastAsia="zh-CN"/>
        </w:rPr>
        <w:t xml:space="preserve">In this </w:t>
      </w:r>
      <w:r>
        <w:rPr>
          <w:rFonts w:hint="eastAsia"/>
          <w:lang w:val="en-US" w:eastAsia="zh-CN"/>
        </w:rPr>
        <w:t>section</w:t>
      </w:r>
      <w:r>
        <w:rPr>
          <w:rFonts w:hint="eastAsia"/>
          <w:lang w:eastAsia="zh-CN"/>
        </w:rPr>
        <w:t>, our views are provided</w:t>
      </w:r>
      <w:r>
        <w:rPr>
          <w:rFonts w:hint="eastAsia"/>
          <w:lang w:val="en-US" w:eastAsia="zh-CN"/>
        </w:rPr>
        <w:t xml:space="preserve"> from the following three aspects：Early </w:t>
      </w:r>
      <w:r>
        <w:rPr>
          <w:szCs w:val="22"/>
        </w:rPr>
        <w:t>SRS/CSI/CSI-RS triggering for UE transitioning from IDLE/INACTIVE</w:t>
      </w:r>
      <w:r>
        <w:rPr>
          <w:rFonts w:hint="eastAsia"/>
          <w:szCs w:val="22"/>
          <w:lang w:val="en-US" w:eastAsia="zh-CN"/>
        </w:rPr>
        <w:t xml:space="preserve"> to </w:t>
      </w:r>
      <w:r>
        <w:rPr>
          <w:szCs w:val="22"/>
        </w:rPr>
        <w:t xml:space="preserve"> CONNECTED</w:t>
      </w:r>
      <w:r>
        <w:rPr>
          <w:rFonts w:hint="eastAsia"/>
          <w:szCs w:val="22"/>
          <w:lang w:val="en-US" w:eastAsia="zh-CN"/>
        </w:rPr>
        <w:t xml:space="preserve">, </w:t>
      </w:r>
      <w:r>
        <w:rPr>
          <w:szCs w:val="22"/>
        </w:rPr>
        <w:t>as well as for SCell activation and switching out of SCell dormancy in CONNECTED mode via the legacy signaling mechanisms</w:t>
      </w:r>
      <w:r>
        <w:rPr>
          <w:rFonts w:hint="eastAsia"/>
          <w:szCs w:val="22"/>
          <w:lang w:val="en-US" w:eastAsia="zh-CN"/>
        </w:rPr>
        <w:t xml:space="preserve">. And frequency domain density sparsity design for CSI-RS with larger antenna ports. </w:t>
      </w:r>
    </w:p>
    <w:p w14:paraId="56DF4340">
      <w:pPr>
        <w:pStyle w:val="3"/>
        <w:rPr>
          <w:rFonts w:hint="default"/>
          <w:lang w:val="en-US" w:eastAsia="zh-CN"/>
        </w:rPr>
      </w:pPr>
      <w:r>
        <w:rPr>
          <w:szCs w:val="22"/>
        </w:rPr>
        <w:t>Early SRS/CSI/CSI-RS triggering</w:t>
      </w:r>
      <w:r>
        <w:rPr>
          <w:rFonts w:hint="eastAsia"/>
          <w:szCs w:val="22"/>
          <w:lang w:val="en-US" w:eastAsia="zh-CN"/>
        </w:rPr>
        <w:t xml:space="preserve"> for UE state </w:t>
      </w:r>
      <w:r>
        <w:rPr>
          <w:szCs w:val="22"/>
        </w:rPr>
        <w:t>transition</w:t>
      </w:r>
      <w:r>
        <w:rPr>
          <w:rFonts w:hint="eastAsia"/>
          <w:szCs w:val="22"/>
          <w:lang w:val="en-US" w:eastAsia="zh-CN"/>
        </w:rPr>
        <w:t>s</w:t>
      </w:r>
    </w:p>
    <w:p w14:paraId="40F6B2F6">
      <w:pPr>
        <w:rPr>
          <w:rFonts w:hint="eastAsia"/>
          <w:lang w:eastAsia="zh-CN"/>
        </w:rPr>
      </w:pPr>
      <w:r>
        <w:rPr>
          <w:rFonts w:hint="eastAsia"/>
          <w:lang w:eastAsia="zh-CN"/>
        </w:rPr>
        <w:t>When a UE transitions from IDLE or RRC INACTIVE state to CONNECTED mode, it typically has no prior CSI for the new link. Consequently, the initial downlink transmissions after connection setup must fall back to open-loop schemes (e.g. no precoding or low MCS) due to lack of CSI, resulting in suboptimal throughput. In current NR procedures, CSI measurement and reporting configurations are only provided after the RRC connection is established, i.e. after Msg4 and initial security/setup complete, which delays CSI availability.</w:t>
      </w:r>
      <w:r>
        <w:rPr>
          <w:rFonts w:hint="eastAsia"/>
          <w:lang w:val="en-US" w:eastAsia="zh-CN"/>
        </w:rPr>
        <w:t xml:space="preserve"> </w:t>
      </w:r>
      <w:r>
        <w:rPr>
          <w:rFonts w:hint="eastAsia"/>
          <w:lang w:eastAsia="zh-CN"/>
        </w:rPr>
        <w:t xml:space="preserve">This section addresses the need to acquire CSI as early as possible during the </w:t>
      </w:r>
      <w:r>
        <w:rPr>
          <w:rFonts w:hint="eastAsia"/>
          <w:lang w:val="en-US" w:eastAsia="zh-CN"/>
        </w:rPr>
        <w:t>random access</w:t>
      </w:r>
      <w:r>
        <w:rPr>
          <w:rFonts w:hint="eastAsia"/>
          <w:lang w:eastAsia="zh-CN"/>
        </w:rPr>
        <w:t xml:space="preserve"> procedure to avoid fallback transmissions and immediately enable optimized link adaptation.</w:t>
      </w:r>
    </w:p>
    <w:p w14:paraId="516131B3">
      <w:pPr>
        <w:rPr>
          <w:rFonts w:hint="eastAsia"/>
          <w:lang w:val="en-US" w:eastAsia="zh-CN"/>
        </w:rPr>
      </w:pPr>
      <w:r>
        <w:rPr>
          <w:rFonts w:hint="eastAsia"/>
          <w:lang w:val="en-US" w:eastAsia="zh-CN"/>
        </w:rPr>
        <w:t>According to the WID, UE capability for early triggering and resource/reporting configuration is signaled via MSG3 and SI, respectively. Since UE capability for early SRS/CSI/CSI-RS triggering depends on the resource/reporting configuration, if the UE does not receive the resource/reporting configuration in SI, it does not need to report the capability.</w:t>
      </w:r>
      <w:r>
        <w:rPr>
          <w:rFonts w:hint="default"/>
          <w:lang w:val="en-US" w:eastAsia="zh-CN"/>
        </w:rPr>
        <w:br w:type="textWrapping"/>
      </w:r>
      <w:r>
        <w:rPr>
          <w:rFonts w:hint="default"/>
          <w:lang w:val="en-US" w:eastAsia="zh-CN"/>
        </w:rPr>
        <w:t>Considering the capacity limitations of SI, we propose that the resource and reporting configuration should be kept sufficiently simple, focusing only on essential parameter configurations. Therefore, we suggest reusing the legacy CSI-measConfig or SRS-Config with some simplifications for resource and reporting configurations.</w:t>
      </w:r>
    </w:p>
    <w:p w14:paraId="790DDB07">
      <w:pPr>
        <w:pStyle w:val="34"/>
        <w:numPr>
          <w:ilvl w:val="0"/>
          <w:numId w:val="7"/>
        </w:numPr>
        <w:tabs>
          <w:tab w:val="left" w:pos="1701"/>
        </w:tabs>
        <w:spacing w:before="240" w:after="240" w:line="240" w:lineRule="auto"/>
        <w:ind w:left="1134" w:hanging="1134"/>
        <w:rPr>
          <w:rFonts w:hint="eastAsia" w:ascii="Times New Roman" w:hAnsi="Times New Roman" w:cs="Times New Roman"/>
          <w:i/>
          <w:iCs/>
          <w:sz w:val="22"/>
          <w:szCs w:val="22"/>
          <w:highlight w:val="none"/>
          <w:lang w:val="en-US" w:eastAsia="zh-CN"/>
        </w:rPr>
      </w:pPr>
      <w:r>
        <w:rPr>
          <w:rFonts w:hint="eastAsia" w:cs="Times New Roman"/>
          <w:i/>
          <w:iCs/>
          <w:sz w:val="22"/>
          <w:szCs w:val="22"/>
          <w:highlight w:val="none"/>
          <w:lang w:val="en-US" w:eastAsia="zh-CN"/>
        </w:rPr>
        <w:t xml:space="preserve">: </w:t>
      </w:r>
      <w:r>
        <w:rPr>
          <w:rFonts w:hint="eastAsia" w:ascii="Times New Roman" w:hAnsi="Times New Roman" w:cs="Times New Roman"/>
          <w:i/>
          <w:iCs/>
          <w:sz w:val="22"/>
          <w:szCs w:val="22"/>
          <w:highlight w:val="none"/>
          <w:lang w:val="en-US" w:eastAsia="zh-CN"/>
        </w:rPr>
        <w:t>For early SRS/CSI/CSI-RS triggering, reuse legacy CSI-measConfig or SRS-Config with simplifications for resource and reporting configurations.</w:t>
      </w:r>
    </w:p>
    <w:p w14:paraId="23B6CBD1">
      <w:pPr>
        <w:pStyle w:val="34"/>
        <w:numPr>
          <w:ilvl w:val="0"/>
          <w:numId w:val="7"/>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w:t>
      </w:r>
      <w:r>
        <w:rPr>
          <w:rFonts w:hint="eastAsia"/>
          <w:i/>
          <w:iCs/>
          <w:sz w:val="22"/>
          <w:szCs w:val="22"/>
          <w:highlight w:val="none"/>
          <w:lang w:eastAsia="zh-CN"/>
        </w:rPr>
        <w:t>If the UE does not receive the resource/reporting configuration, it is not required to report its capability for early SRS/CSI/CSI-RS triggering.</w:t>
      </w:r>
    </w:p>
    <w:p w14:paraId="18293128">
      <w:pPr>
        <w:rPr>
          <w:rFonts w:hint="default"/>
          <w:lang w:val="en-US" w:eastAsia="zh-CN"/>
        </w:rPr>
      </w:pPr>
      <w:r>
        <w:rPr>
          <w:rFonts w:hint="default"/>
          <w:lang w:val="en-US" w:eastAsia="zh-CN"/>
        </w:rPr>
        <w:t xml:space="preserve">Based on the </w:t>
      </w:r>
      <w:r>
        <w:rPr>
          <w:rFonts w:hint="default"/>
          <w:lang w:val="en-US" w:eastAsia="zh-CN"/>
        </w:rPr>
        <w:t>WID, we propose early SRS/CSI/CSI-RS triggering for UEs transitioning from IDLE/INACTIVE to CONNECTED mode via Msg4 in the 4-step RACH procedure. As Msg4 is carried over PUSCH, we suggest introducing a new MAC CE within Msg4 to convey SRS/CSI/CSI-RS triggering information.</w:t>
      </w:r>
    </w:p>
    <w:p w14:paraId="5443298D">
      <w:pPr>
        <w:pStyle w:val="34"/>
        <w:numPr>
          <w:ilvl w:val="0"/>
          <w:numId w:val="7"/>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zh-CN" w:bidi="ar-SA"/>
        </w:rPr>
        <w:t>For early SRS/CSI/CSI-RS triggering, introduce a new MAC CE in Msg4 to convey the triggering information.</w:t>
      </w:r>
    </w:p>
    <w:p w14:paraId="35C0D718">
      <w:pPr>
        <w:rPr>
          <w:rStyle w:val="27"/>
          <w:rFonts w:hint="default" w:ascii="Segoe UI Emoji" w:hAnsi="Segoe UI Emoji" w:eastAsia="Segoe UI Emoji" w:cs="Segoe UI Emoji"/>
          <w:b/>
          <w:bCs/>
          <w:i w:val="0"/>
          <w:iCs w:val="0"/>
          <w:caps w:val="0"/>
          <w:spacing w:val="0"/>
          <w:sz w:val="27"/>
          <w:szCs w:val="27"/>
          <w:bdr w:val="single" w:color="E5E7EB" w:sz="2" w:space="0"/>
          <w:lang w:val="en-US" w:eastAsia="zh-CN"/>
        </w:rPr>
      </w:pPr>
    </w:p>
    <w:p w14:paraId="7132640C">
      <w:pPr>
        <w:pStyle w:val="3"/>
        <w:rPr>
          <w:lang w:eastAsia="zh-CN"/>
        </w:rPr>
      </w:pPr>
      <w:r>
        <w:rPr>
          <w:szCs w:val="22"/>
        </w:rPr>
        <w:t>Early SRS/CSI/CSI-RS triggering</w:t>
      </w:r>
      <w:r>
        <w:rPr>
          <w:rFonts w:hint="eastAsia"/>
          <w:szCs w:val="22"/>
          <w:lang w:val="en-US" w:eastAsia="zh-CN"/>
        </w:rPr>
        <w:t xml:space="preserve"> for Scell </w:t>
      </w:r>
      <w:r>
        <w:rPr>
          <w:szCs w:val="22"/>
        </w:rPr>
        <w:t xml:space="preserve">activation </w:t>
      </w:r>
    </w:p>
    <w:p w14:paraId="7B7B9999">
      <w:pPr>
        <w:rPr>
          <w:rFonts w:hint="eastAsia"/>
          <w:szCs w:val="22"/>
          <w:lang w:val="en-US" w:eastAsia="zh-CN"/>
        </w:rPr>
      </w:pPr>
      <w:r>
        <w:rPr>
          <w:rFonts w:hint="default"/>
          <w:lang w:val="en-US" w:eastAsia="zh-CN"/>
        </w:rPr>
        <w:t xml:space="preserve">In carrier aggregation, secondary cells (SCells) can be added to boost throughput, but they are not always kept active. The standard defines mechanisms for SCell activation/deactivation via MAC CE and SCell dormancy (semi-activation) via DCI signaling to manage energy and overhead. Today, when an SCell is activated (transitioning from a deactivated state) the UE will, after a specified delay, start using that SCell for normal operations – including transmitting SRS on it, performing CSI measurements, and monitoring PDCCH/PDSCH. However, crucially, there is no immediate trigger to obtain CSI at the moment of activation. The gNB must either rely on outdated measurements or wait until the next periodic CSI report for that SCell, during which initial data transmissions on the SCell may use conservative parameters. Similarly, when an SCell is in dormant mode (PDCCH monitoring off) and is awakened via a dormancy indication bit in DCI, the UE might have been passively measuring the channel (CSI-RS) on that SCell during dormancy, but there is no explicit prompt for a fresh CSI report at wake-up. </w:t>
      </w:r>
      <w:r>
        <w:rPr>
          <w:rFonts w:hint="eastAsia"/>
          <w:lang w:val="en-US" w:eastAsia="zh-CN"/>
        </w:rPr>
        <w:t>Therefore, this section we consider e</w:t>
      </w:r>
      <w:r>
        <w:rPr>
          <w:rFonts w:hint="eastAsia"/>
          <w:szCs w:val="22"/>
        </w:rPr>
        <w:t>arly SRS/CSI/CSI-RS triggering</w:t>
      </w:r>
      <w:r>
        <w:rPr>
          <w:rFonts w:hint="eastAsia"/>
          <w:szCs w:val="22"/>
          <w:lang w:val="en-US" w:eastAsia="zh-CN"/>
        </w:rPr>
        <w:t xml:space="preserve"> </w:t>
      </w:r>
      <w:r>
        <w:rPr>
          <w:rFonts w:hint="eastAsia"/>
          <w:szCs w:val="22"/>
        </w:rPr>
        <w:t>for SCell activation and switching out of SCell dormancy in CONNECTED mode via the legacy signaling mechanisms (based on legacy SCell activation MAC CE, and legacy switching DCI out of SCell dormancy, respectively)</w:t>
      </w:r>
      <w:r>
        <w:rPr>
          <w:rFonts w:hint="eastAsia"/>
          <w:szCs w:val="22"/>
          <w:lang w:val="en-US" w:eastAsia="zh-CN"/>
        </w:rPr>
        <w:t xml:space="preserve">. </w:t>
      </w:r>
    </w:p>
    <w:p w14:paraId="56508210">
      <w:pPr>
        <w:rPr>
          <w:rFonts w:hint="eastAsia"/>
          <w:lang w:val="en-US" w:eastAsia="zh-CN"/>
        </w:rPr>
      </w:pPr>
      <w:r>
        <w:rPr>
          <w:rFonts w:hint="eastAsia"/>
          <w:szCs w:val="22"/>
          <w:lang w:val="en-US" w:eastAsia="zh-CN"/>
        </w:rPr>
        <w:t xml:space="preserve">Per the current standard, Scell can be activated or deactivated by MAC CE. To enable </w:t>
      </w:r>
      <w:r>
        <w:rPr>
          <w:rFonts w:hint="eastAsia"/>
          <w:lang w:val="en-US" w:eastAsia="zh-CN"/>
        </w:rPr>
        <w:t xml:space="preserve">the quickly downlink synchronize, the </w:t>
      </w:r>
      <w:r>
        <w:rPr>
          <w:rFonts w:hint="eastAsia"/>
          <w:szCs w:val="22"/>
          <w:lang w:val="en-US" w:eastAsia="zh-CN"/>
        </w:rPr>
        <w:t>e</w:t>
      </w:r>
      <w:r>
        <w:t>nhanced</w:t>
      </w:r>
      <w:r>
        <w:rPr>
          <w:rStyle w:val="31"/>
        </w:rPr>
        <w:t xml:space="preserve"> </w:t>
      </w:r>
      <w:r>
        <w:rPr>
          <w:rFonts w:eastAsia="Yu Mincho"/>
          <w:lang w:eastAsia="ko-KR"/>
        </w:rPr>
        <w:t xml:space="preserve">SCell </w:t>
      </w:r>
      <w:r>
        <w:rPr>
          <w:rFonts w:hint="eastAsia" w:eastAsia="宋体"/>
          <w:lang w:val="en-US" w:eastAsia="zh-CN"/>
        </w:rPr>
        <w:t>a</w:t>
      </w:r>
      <w:r>
        <w:rPr>
          <w:rFonts w:eastAsia="Yu Mincho"/>
          <w:lang w:eastAsia="ko-KR"/>
        </w:rPr>
        <w:t>ctivation/</w:t>
      </w:r>
      <w:r>
        <w:rPr>
          <w:rFonts w:hint="eastAsia" w:eastAsia="宋体"/>
          <w:lang w:val="en-US" w:eastAsia="zh-CN"/>
        </w:rPr>
        <w:t>d</w:t>
      </w:r>
      <w:r>
        <w:rPr>
          <w:rFonts w:eastAsia="Yu Mincho"/>
          <w:lang w:eastAsia="ko-KR"/>
        </w:rPr>
        <w:t>eactivation MAC CE</w:t>
      </w:r>
      <w:r>
        <w:rPr>
          <w:lang w:eastAsia="ko-KR"/>
        </w:rPr>
        <w:t>s</w:t>
      </w:r>
      <w:r>
        <w:rPr>
          <w:rFonts w:hint="eastAsia"/>
          <w:lang w:val="en-US" w:eastAsia="zh-CN"/>
        </w:rPr>
        <w:t xml:space="preserve"> can trigger specific TRS resource. We believe that the above mechanism also can be used for SRS/CSI-RS/CSI trigger. Therefore, a specific SRS/CSI/CSI-RS resource or reporting configuration can be configured for Scell </w:t>
      </w:r>
      <w:r>
        <w:rPr>
          <w:rFonts w:hint="eastAsia" w:eastAsia="宋体"/>
          <w:lang w:val="en-US" w:eastAsia="zh-CN"/>
        </w:rPr>
        <w:t>a</w:t>
      </w:r>
      <w:r>
        <w:rPr>
          <w:rFonts w:eastAsia="Yu Mincho"/>
          <w:lang w:eastAsia="ko-KR"/>
        </w:rPr>
        <w:t>ctivation</w:t>
      </w:r>
      <w:r>
        <w:rPr>
          <w:rFonts w:hint="eastAsia" w:eastAsia="宋体"/>
          <w:lang w:val="en-US" w:eastAsia="zh-CN"/>
        </w:rPr>
        <w:t xml:space="preserve">. </w:t>
      </w:r>
      <w:r>
        <w:rPr>
          <w:rFonts w:hint="eastAsia"/>
          <w:lang w:val="en-US" w:eastAsia="zh-CN"/>
        </w:rPr>
        <w:t xml:space="preserve">Moreover, the time domain behavior of SRS or CSI-RS resource for activation Scell can be aperiodic or semi-persistent. </w:t>
      </w:r>
    </w:p>
    <w:p w14:paraId="5383A6E3">
      <w:pPr>
        <w:rPr>
          <w:rFonts w:hint="eastAsia"/>
          <w:szCs w:val="22"/>
          <w:lang w:val="en-US" w:eastAsia="zh-CN"/>
        </w:rPr>
      </w:pPr>
      <w:r>
        <w:rPr>
          <w:rFonts w:hint="eastAsia"/>
          <w:szCs w:val="22"/>
          <w:lang w:val="en-US" w:eastAsia="zh-CN"/>
        </w:rPr>
        <w:t>Per the current standard, SCell can be activated or deactivated via MAC CE. To enable quick downlink synchronization, enhanced SCell activation/deactivation MAC CEs can trigger specific TRS resources. We propose extending this mechanism to support SRS/CSI-RS/CSI triggering. A specific SRS/CSI-RS resource or reporting configuration can be defined for SCell activation. Additionally, the time-domain behavior of SRS or CSI-RS resources for SCell activation can be configured as aperiodic or semi-persistent.</w:t>
      </w:r>
    </w:p>
    <w:p w14:paraId="6BD93A29">
      <w:pPr>
        <w:pStyle w:val="34"/>
        <w:numPr>
          <w:ilvl w:val="0"/>
          <w:numId w:val="7"/>
        </w:numPr>
        <w:tabs>
          <w:tab w:val="left" w:pos="1701"/>
        </w:tabs>
        <w:spacing w:before="240" w:after="240" w:line="240" w:lineRule="auto"/>
        <w:ind w:left="1134" w:hanging="1134"/>
        <w:rPr>
          <w:rFonts w:hint="eastAsia" w:cs="Times New Roman"/>
          <w:i/>
          <w:iCs/>
          <w:sz w:val="22"/>
          <w:szCs w:val="22"/>
          <w:highlight w:val="none"/>
          <w:lang w:val="en-US" w:eastAsia="zh-CN"/>
        </w:rPr>
      </w:pPr>
      <w:r>
        <w:rPr>
          <w:rFonts w:hint="eastAsia"/>
          <w:i/>
          <w:iCs/>
          <w:sz w:val="22"/>
          <w:szCs w:val="22"/>
          <w:highlight w:val="none"/>
          <w:lang w:eastAsia="zh-CN"/>
        </w:rPr>
        <w:t xml:space="preserve">: </w:t>
      </w:r>
      <w:r>
        <w:rPr>
          <w:rFonts w:hint="eastAsia" w:ascii="Times New Roman" w:hAnsi="Times New Roman" w:cs="Times New Roman"/>
          <w:i/>
          <w:iCs/>
          <w:sz w:val="22"/>
          <w:szCs w:val="22"/>
          <w:highlight w:val="none"/>
          <w:lang w:val="en-US" w:eastAsia="zh-CN"/>
        </w:rPr>
        <w:t xml:space="preserve">For </w:t>
      </w:r>
      <w:r>
        <w:rPr>
          <w:rFonts w:hint="eastAsia" w:cs="Times New Roman"/>
          <w:i/>
          <w:iCs/>
          <w:sz w:val="22"/>
          <w:szCs w:val="22"/>
          <w:highlight w:val="none"/>
          <w:lang w:val="en-US" w:eastAsia="zh-CN"/>
        </w:rPr>
        <w:t>e</w:t>
      </w:r>
      <w:r>
        <w:rPr>
          <w:rFonts w:hint="eastAsia" w:ascii="Times New Roman" w:hAnsi="Times New Roman" w:cs="Times New Roman"/>
          <w:i/>
          <w:iCs/>
          <w:sz w:val="22"/>
          <w:szCs w:val="22"/>
          <w:highlight w:val="none"/>
          <w:lang w:val="en-US" w:eastAsia="zh-CN"/>
        </w:rPr>
        <w:t>arly SRS/CSI/CSI-RS triggering</w:t>
      </w:r>
      <w:r>
        <w:rPr>
          <w:rFonts w:hint="eastAsia" w:cs="Times New Roman"/>
          <w:i/>
          <w:iCs/>
          <w:sz w:val="22"/>
          <w:szCs w:val="22"/>
          <w:highlight w:val="none"/>
          <w:lang w:val="en-US" w:eastAsia="zh-CN"/>
        </w:rPr>
        <w:t xml:space="preserve"> for Scell</w:t>
      </w:r>
      <w:r>
        <w:rPr>
          <w:rFonts w:hint="eastAsia" w:ascii="Times New Roman" w:hAnsi="Times New Roman" w:cs="Times New Roman"/>
          <w:i/>
          <w:iCs/>
          <w:sz w:val="22"/>
          <w:szCs w:val="22"/>
          <w:highlight w:val="none"/>
          <w:lang w:val="en-US" w:eastAsia="zh-CN"/>
        </w:rPr>
        <w:t xml:space="preserve">, </w:t>
      </w:r>
      <w:r>
        <w:rPr>
          <w:rFonts w:hint="eastAsia" w:cs="Times New Roman"/>
          <w:i/>
          <w:iCs/>
          <w:sz w:val="22"/>
          <w:szCs w:val="22"/>
          <w:highlight w:val="none"/>
          <w:lang w:val="en-US" w:eastAsia="zh-CN"/>
        </w:rPr>
        <w:t xml:space="preserve">a specific SRS/CSI/CSI-RS resource or reporting configuration should be configured, which is simlar to TRS configuration for fast Scell activation. </w:t>
      </w:r>
    </w:p>
    <w:p w14:paraId="60100575">
      <w:pPr>
        <w:pStyle w:val="34"/>
        <w:numPr>
          <w:ilvl w:val="0"/>
          <w:numId w:val="7"/>
        </w:numPr>
        <w:tabs>
          <w:tab w:val="left" w:pos="1701"/>
        </w:tabs>
        <w:spacing w:before="240" w:after="240" w:line="240" w:lineRule="auto"/>
        <w:ind w:left="1134" w:hanging="1134"/>
        <w:rPr>
          <w:rFonts w:hint="eastAsia" w:cs="Times New Roman"/>
          <w:i/>
          <w:iCs/>
          <w:sz w:val="22"/>
          <w:szCs w:val="22"/>
          <w:highlight w:val="none"/>
          <w:lang w:val="en-US" w:eastAsia="zh-CN"/>
        </w:rPr>
      </w:pPr>
      <w:r>
        <w:rPr>
          <w:rFonts w:hint="eastAsia" w:cs="Times New Roman"/>
          <w:i/>
          <w:iCs/>
          <w:sz w:val="22"/>
          <w:szCs w:val="22"/>
          <w:highlight w:val="none"/>
          <w:lang w:val="en-US" w:eastAsia="zh-CN"/>
        </w:rPr>
        <w:t>For early SRS/CSI/CSI-RS triggering in SCell, a specific SRS/CSI/CSI-RS resource or reporting configuration should be defined, similar to the TRS configuration for enabling fast SCell activation.</w:t>
      </w:r>
    </w:p>
    <w:p w14:paraId="1B212F23">
      <w:pPr>
        <w:pStyle w:val="34"/>
        <w:numPr>
          <w:ilvl w:val="0"/>
          <w:numId w:val="7"/>
        </w:numPr>
        <w:tabs>
          <w:tab w:val="left" w:pos="1701"/>
        </w:tabs>
        <w:spacing w:before="240" w:after="240" w:line="240" w:lineRule="auto"/>
        <w:ind w:left="1134" w:hanging="1134"/>
        <w:rPr>
          <w:rFonts w:hint="eastAsia" w:cs="Times New Roman"/>
          <w:i/>
          <w:iCs/>
          <w:sz w:val="22"/>
          <w:szCs w:val="22"/>
          <w:highlight w:val="none"/>
          <w:lang w:val="en-US" w:eastAsia="zh-CN"/>
        </w:rPr>
      </w:pPr>
      <w:r>
        <w:rPr>
          <w:rFonts w:hint="eastAsia" w:cs="Times New Roman"/>
          <w:i/>
          <w:iCs/>
          <w:sz w:val="22"/>
          <w:szCs w:val="22"/>
          <w:highlight w:val="none"/>
          <w:lang w:val="en-US" w:eastAsia="zh-CN"/>
        </w:rPr>
        <w:t>For early SRS/CSI/CSI-RS triggering in SCell, the time-domain behavior of SRS or CSI-RS resources can be configured as aperiodic or semi-persistent.</w:t>
      </w:r>
    </w:p>
    <w:p w14:paraId="588780A8">
      <w:pPr>
        <w:pStyle w:val="34"/>
        <w:numPr>
          <w:ilvl w:val="0"/>
          <w:numId w:val="0"/>
        </w:numPr>
        <w:tabs>
          <w:tab w:val="left" w:pos="1701"/>
        </w:tabs>
        <w:spacing w:before="240" w:after="240" w:line="240" w:lineRule="auto"/>
        <w:ind w:leftChars="0"/>
        <w:rPr>
          <w:rFonts w:hint="default" w:cs="Times New Roman"/>
          <w:b w:val="0"/>
          <w:bCs w:val="0"/>
          <w:sz w:val="22"/>
          <w:szCs w:val="22"/>
          <w:lang w:val="en-US" w:eastAsia="zh-CN" w:bidi="ar-SA"/>
        </w:rPr>
      </w:pPr>
      <w:r>
        <w:rPr>
          <w:rFonts w:hint="eastAsia" w:cs="Times New Roman"/>
          <w:b w:val="0"/>
          <w:bCs w:val="0"/>
          <w:sz w:val="22"/>
          <w:szCs w:val="22"/>
          <w:lang w:val="en-US" w:eastAsia="zh-CN" w:bidi="ar-SA"/>
        </w:rPr>
        <w:t>To distinguish between the legacy SCell activation/deactivation MAC CE and the enhanced SCell activation/deactivation MAC CE, a new MAC CE signaling can be defined for early SRS/CSI/CSI-RS triggering during SCell activation, using a new LCID or eLCID. Moreover, the legacy SCell activation/deactivation MAC CE and the enhanced SCell activation/deactivation MAC CE can be reused, with an additional field to indicate whether the MAC CE triggers SRS/CSI/CSI-RS measurement or reporting. Considering the reuse of LCID or eLCID, we prefer reusing the legacy SCell activation/deactivation MAC CE and the enhanced SCell activation/deactivation MAC CE.</w:t>
      </w:r>
    </w:p>
    <w:p w14:paraId="60EDAEB6">
      <w:pPr>
        <w:pStyle w:val="34"/>
        <w:numPr>
          <w:ilvl w:val="0"/>
          <w:numId w:val="7"/>
        </w:numPr>
        <w:tabs>
          <w:tab w:val="left" w:pos="1701"/>
        </w:tabs>
        <w:spacing w:before="240" w:after="240" w:line="240" w:lineRule="auto"/>
        <w:ind w:left="1134" w:hanging="1134"/>
        <w:rPr>
          <w:rFonts w:hint="eastAsia" w:cs="Times New Roman"/>
          <w:i/>
          <w:iCs/>
          <w:sz w:val="22"/>
          <w:szCs w:val="22"/>
          <w:highlight w:val="none"/>
          <w:lang w:val="en-US" w:eastAsia="zh-CN"/>
        </w:rPr>
      </w:pPr>
      <w:r>
        <w:rPr>
          <w:rFonts w:hint="eastAsia" w:cs="Times New Roman"/>
          <w:i/>
          <w:iCs/>
          <w:sz w:val="22"/>
          <w:szCs w:val="22"/>
          <w:highlight w:val="none"/>
          <w:lang w:val="en-US" w:eastAsia="zh-CN"/>
        </w:rPr>
        <w:t>:For early SRS/CSI/CSI-RS triggering in SCell, reuse the legacy SCell activation/deactivation MAC CE and add a field to distinguish whether the MAC CE can trigger SRS/CSI/CSI-RS measurement or reporting.</w:t>
      </w:r>
    </w:p>
    <w:p w14:paraId="6EBA2077">
      <w:pPr>
        <w:pStyle w:val="34"/>
        <w:numPr>
          <w:ilvl w:val="0"/>
          <w:numId w:val="0"/>
        </w:numPr>
        <w:tabs>
          <w:tab w:val="left" w:pos="1701"/>
        </w:tabs>
        <w:spacing w:before="240" w:after="240"/>
        <w:ind w:leftChars="0"/>
        <w:rPr>
          <w:rFonts w:hint="eastAsia"/>
          <w:lang w:eastAsia="zh-CN"/>
        </w:rPr>
      </w:pPr>
    </w:p>
    <w:p w14:paraId="1CC439BF">
      <w:pPr>
        <w:pStyle w:val="3"/>
        <w:rPr>
          <w:lang w:eastAsia="zh-CN"/>
        </w:rPr>
      </w:pPr>
      <w:r>
        <w:rPr>
          <w:rFonts w:hint="eastAsia"/>
          <w:szCs w:val="22"/>
          <w:lang w:val="en-US" w:eastAsia="zh-CN"/>
        </w:rPr>
        <w:t>Frequency domain density sparsity design of CSI-RS for larger antenna ports</w:t>
      </w:r>
      <w:r>
        <w:rPr>
          <w:szCs w:val="22"/>
        </w:rPr>
        <w:t xml:space="preserve"> </w:t>
      </w:r>
    </w:p>
    <w:bookmarkEnd w:id="3"/>
    <w:p w14:paraId="2F3009A6">
      <w:pPr>
        <w:pStyle w:val="34"/>
        <w:numPr>
          <w:ilvl w:val="0"/>
          <w:numId w:val="0"/>
        </w:numPr>
        <w:tabs>
          <w:tab w:val="left" w:pos="1701"/>
        </w:tabs>
        <w:spacing w:before="240" w:after="240" w:line="240" w:lineRule="auto"/>
        <w:ind w:leftChars="0"/>
        <w:rPr>
          <w:rFonts w:hint="eastAsia" w:cs="Times New Roman"/>
          <w:b w:val="0"/>
          <w:bCs w:val="0"/>
          <w:sz w:val="22"/>
          <w:szCs w:val="22"/>
          <w:lang w:val="en-US" w:eastAsia="zh-CN" w:bidi="ar-SA"/>
        </w:rPr>
      </w:pPr>
      <w:bookmarkStart w:id="4" w:name="_Ref129681832"/>
      <w:r>
        <w:rPr>
          <w:rFonts w:hint="eastAsia" w:cs="Times New Roman"/>
          <w:b w:val="0"/>
          <w:bCs w:val="0"/>
          <w:sz w:val="22"/>
          <w:szCs w:val="22"/>
          <w:lang w:val="en-US" w:eastAsia="zh-CN" w:bidi="ar-SA"/>
        </w:rPr>
        <w:t>As Massive MIMO evolves, Rel-19 NR has extended support for CSI-RS to up to 128 antenna ports. However, using the current CSI-RS designs for such large port counts leads to a linear increase in reference signal overhead, which can become prohibitive. For instance, a 48-port CSI-RS configuration could be realized by aggregating multiple smaller CSI-RS resources (e.g. combining 3 sets of 16 ports or 2 sets of 24 ports to total 48 ports). If we naively map these resources without changing density, the frequency-domain overhead in terms of REs per RB would double or triple (since each 16-port or 24-port resource typically occupies a certain fraction of REs per RB). This high overhead not only consumes resources that could carry data, but also undermines the capacity gains from having more antennas. Therefore, a new design is needed to introduce sparser frequency-domain density for CSI-RS when many antenna ports are used, thereby reducing overhead while still providing sufficient CSI for beamforming on large arrays.</w:t>
      </w:r>
    </w:p>
    <w:p w14:paraId="57691DA1">
      <w:pPr>
        <w:pStyle w:val="34"/>
        <w:numPr>
          <w:ilvl w:val="0"/>
          <w:numId w:val="0"/>
        </w:numPr>
        <w:tabs>
          <w:tab w:val="left" w:pos="1701"/>
        </w:tabs>
        <w:spacing w:before="240" w:after="240" w:line="240" w:lineRule="auto"/>
        <w:ind w:leftChars="0"/>
        <w:rPr>
          <w:rFonts w:hint="eastAsia" w:cs="Times New Roman"/>
          <w:b w:val="0"/>
          <w:bCs w:val="0"/>
          <w:sz w:val="22"/>
          <w:szCs w:val="22"/>
          <w:lang w:val="en-US" w:eastAsia="zh-CN" w:bidi="ar-SA"/>
        </w:rPr>
      </w:pPr>
      <w:r>
        <w:rPr>
          <w:rFonts w:hint="eastAsia" w:cs="Times New Roman"/>
          <w:b w:val="0"/>
          <w:bCs w:val="0"/>
          <w:sz w:val="22"/>
          <w:szCs w:val="22"/>
          <w:lang w:val="en-US" w:eastAsia="zh-CN" w:bidi="ar-SA"/>
        </w:rPr>
        <w:t>According to the WID, for 48, 64, and 128 CSI-RS antenna ports, support is provided for CSI-RS densities of 1/3, 1/4, 1/6, and 1/8 RE/RB/port. In Rel-19, it has been specified that 48, 64, and 128 CSI-RS antenna ports can be realized by aggregating multiple smaller CSI-RS resources. Therefore, we propose that the densities of 1/3, 1/4, 1/6, and 1/8 RE/RB/port should also be supported for CSI-RS with fewer than 32 antenna ports. Then, multiple smaller CSI-RS resources with the same density can be aggregated to realize larger CSI-RS antenna ports with the same density. Moreover, the frequency domain mapping location for smaller CSI-RS resources can reuse legacy mechanisms. For example, for a CSI-RS resource with a density of 0.5, it will indicate the CSI-RS mapping to the odd or even RBs. Similarly, for a CSI-RS resource with a density of 1/3, it will indicate the CSI-RS resource mapping to the 1st RB, 2nd RB, and "3rd RB."</w:t>
      </w:r>
    </w:p>
    <w:p w14:paraId="41726A94">
      <w:pPr>
        <w:pStyle w:val="34"/>
        <w:numPr>
          <w:ilvl w:val="0"/>
          <w:numId w:val="7"/>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zh-CN" w:bidi="ar-SA"/>
        </w:rPr>
        <w:t>Introduce 1/3, 1/4, 1/6, 1/8 densities for CSI-RS (&lt;32 ports) to aggregate larger ports with consistent density</w:t>
      </w:r>
    </w:p>
    <w:p w14:paraId="646122B6">
      <w:pPr>
        <w:rPr>
          <w:rFonts w:hint="eastAsia"/>
          <w:color w:val="000000" w:themeColor="text1"/>
          <w:lang w:val="en-US" w:eastAsia="zh-CN"/>
          <w14:textFill>
            <w14:solidFill>
              <w14:schemeClr w14:val="tx1"/>
            </w14:solidFill>
          </w14:textFill>
        </w:rPr>
      </w:pPr>
    </w:p>
    <w:p w14:paraId="6D757D7F">
      <w:pPr>
        <w:pStyle w:val="2"/>
      </w:pPr>
      <w:r>
        <w:t>Conclusions</w:t>
      </w:r>
    </w:p>
    <w:p w14:paraId="211D8DFB">
      <w:pPr>
        <w:rPr>
          <w:rFonts w:hint="default" w:ascii="Times New Roman" w:hAnsi="Times New Roman" w:eastAsia="宋体" w:cs="Times New Roman"/>
          <w:b w:val="0"/>
          <w:bCs w:val="0"/>
          <w:sz w:val="22"/>
          <w:szCs w:val="22"/>
          <w:lang w:val="en-US" w:eastAsia="zh-CN" w:bidi="ar-SA"/>
        </w:rPr>
      </w:pPr>
      <w:r>
        <w:rPr>
          <w:rFonts w:hint="eastAsia" w:ascii="Times New Roman" w:hAnsi="Times New Roman" w:eastAsia="宋体" w:cs="Times New Roman"/>
          <w:b w:val="0"/>
          <w:bCs w:val="0"/>
          <w:sz w:val="22"/>
          <w:szCs w:val="22"/>
          <w:lang w:val="en-US" w:eastAsia="zh-CN" w:bidi="ar-SA"/>
        </w:rPr>
        <w:t>This contribution presents our perspectives on early SRS/CSI/CSI-RS triggering and frequency-domain density sparsity design for larger antenna ports. We propose the following:</w:t>
      </w:r>
    </w:p>
    <w:p w14:paraId="45D39A5B">
      <w:pPr>
        <w:pStyle w:val="34"/>
        <w:numPr>
          <w:ilvl w:val="0"/>
          <w:numId w:val="8"/>
        </w:numPr>
        <w:tabs>
          <w:tab w:val="left" w:pos="1701"/>
        </w:tabs>
        <w:spacing w:before="240" w:after="240" w:line="240" w:lineRule="auto"/>
        <w:ind w:left="1134" w:hanging="1134"/>
        <w:rPr>
          <w:rFonts w:hint="eastAsia" w:ascii="Times New Roman" w:hAnsi="Times New Roman" w:cs="Times New Roman"/>
          <w:i/>
          <w:iCs/>
          <w:sz w:val="22"/>
          <w:szCs w:val="22"/>
          <w:highlight w:val="none"/>
          <w:lang w:val="en-US" w:eastAsia="zh-CN"/>
        </w:rPr>
      </w:pPr>
      <w:r>
        <w:rPr>
          <w:rFonts w:hint="eastAsia" w:cs="Times New Roman"/>
          <w:i/>
          <w:iCs/>
          <w:sz w:val="22"/>
          <w:szCs w:val="22"/>
          <w:highlight w:val="none"/>
          <w:lang w:val="en-US" w:eastAsia="zh-CN"/>
        </w:rPr>
        <w:t xml:space="preserve">: </w:t>
      </w:r>
      <w:r>
        <w:rPr>
          <w:rFonts w:hint="eastAsia" w:ascii="Times New Roman" w:hAnsi="Times New Roman" w:cs="Times New Roman"/>
          <w:i/>
          <w:iCs/>
          <w:sz w:val="22"/>
          <w:szCs w:val="22"/>
          <w:highlight w:val="none"/>
          <w:lang w:val="en-US" w:eastAsia="zh-CN"/>
        </w:rPr>
        <w:t>For early SRS/CSI/CSI-RS triggering, reuse legacy CSI-measConfig or SRS-Config with simplifications for resource and reporting configurations.</w:t>
      </w:r>
    </w:p>
    <w:p w14:paraId="479B3222">
      <w:pPr>
        <w:pStyle w:val="34"/>
        <w:numPr>
          <w:ilvl w:val="0"/>
          <w:numId w:val="8"/>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w:t>
      </w:r>
      <w:r>
        <w:rPr>
          <w:rFonts w:hint="eastAsia"/>
          <w:i/>
          <w:iCs/>
          <w:sz w:val="22"/>
          <w:szCs w:val="22"/>
          <w:highlight w:val="none"/>
          <w:lang w:eastAsia="zh-CN"/>
        </w:rPr>
        <w:t>If the UE does not receive the resource/reporting configuration, it is not required to report its capability for early SRS/CSI/CSI-RS triggering.</w:t>
      </w:r>
    </w:p>
    <w:p w14:paraId="276A27AC">
      <w:pPr>
        <w:pStyle w:val="34"/>
        <w:numPr>
          <w:ilvl w:val="0"/>
          <w:numId w:val="8"/>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zh-CN" w:bidi="ar-SA"/>
        </w:rPr>
        <w:t>For early SRS/CSI/CSI-RS triggering, introduce a new MAC CE in Msg4 to convey the triggering information.</w:t>
      </w:r>
    </w:p>
    <w:p w14:paraId="39B5022C">
      <w:pPr>
        <w:pStyle w:val="34"/>
        <w:numPr>
          <w:ilvl w:val="0"/>
          <w:numId w:val="7"/>
        </w:numPr>
        <w:tabs>
          <w:tab w:val="left" w:pos="1701"/>
        </w:tabs>
        <w:spacing w:before="240" w:after="240" w:line="240" w:lineRule="auto"/>
        <w:ind w:left="1134" w:hanging="1134"/>
        <w:rPr>
          <w:rFonts w:hint="eastAsia" w:cs="Times New Roman"/>
          <w:i/>
          <w:iCs/>
          <w:sz w:val="22"/>
          <w:szCs w:val="22"/>
          <w:highlight w:val="none"/>
          <w:lang w:val="en-US" w:eastAsia="zh-CN"/>
        </w:rPr>
      </w:pPr>
      <w:r>
        <w:rPr>
          <w:rFonts w:hint="eastAsia"/>
          <w:i/>
          <w:iCs/>
          <w:sz w:val="22"/>
          <w:szCs w:val="22"/>
          <w:highlight w:val="none"/>
          <w:lang w:eastAsia="zh-CN"/>
        </w:rPr>
        <w:t xml:space="preserve">: </w:t>
      </w:r>
      <w:r>
        <w:rPr>
          <w:rFonts w:hint="eastAsia" w:ascii="Times New Roman" w:hAnsi="Times New Roman" w:cs="Times New Roman"/>
          <w:i/>
          <w:iCs/>
          <w:sz w:val="22"/>
          <w:szCs w:val="22"/>
          <w:highlight w:val="none"/>
          <w:lang w:val="en-US" w:eastAsia="zh-CN"/>
        </w:rPr>
        <w:t xml:space="preserve">For </w:t>
      </w:r>
      <w:r>
        <w:rPr>
          <w:rFonts w:hint="eastAsia" w:cs="Times New Roman"/>
          <w:i/>
          <w:iCs/>
          <w:sz w:val="22"/>
          <w:szCs w:val="22"/>
          <w:highlight w:val="none"/>
          <w:lang w:val="en-US" w:eastAsia="zh-CN"/>
        </w:rPr>
        <w:t>e</w:t>
      </w:r>
      <w:r>
        <w:rPr>
          <w:rFonts w:hint="eastAsia" w:ascii="Times New Roman" w:hAnsi="Times New Roman" w:cs="Times New Roman"/>
          <w:i/>
          <w:iCs/>
          <w:sz w:val="22"/>
          <w:szCs w:val="22"/>
          <w:highlight w:val="none"/>
          <w:lang w:val="en-US" w:eastAsia="zh-CN"/>
        </w:rPr>
        <w:t>arly SRS/CSI/CSI-RS triggering</w:t>
      </w:r>
      <w:r>
        <w:rPr>
          <w:rFonts w:hint="eastAsia" w:cs="Times New Roman"/>
          <w:i/>
          <w:iCs/>
          <w:sz w:val="22"/>
          <w:szCs w:val="22"/>
          <w:highlight w:val="none"/>
          <w:lang w:val="en-US" w:eastAsia="zh-CN"/>
        </w:rPr>
        <w:t xml:space="preserve"> for Scell</w:t>
      </w:r>
      <w:r>
        <w:rPr>
          <w:rFonts w:hint="eastAsia" w:ascii="Times New Roman" w:hAnsi="Times New Roman" w:cs="Times New Roman"/>
          <w:i/>
          <w:iCs/>
          <w:sz w:val="22"/>
          <w:szCs w:val="22"/>
          <w:highlight w:val="none"/>
          <w:lang w:val="en-US" w:eastAsia="zh-CN"/>
        </w:rPr>
        <w:t xml:space="preserve">, </w:t>
      </w:r>
      <w:r>
        <w:rPr>
          <w:rFonts w:hint="eastAsia" w:cs="Times New Roman"/>
          <w:i/>
          <w:iCs/>
          <w:sz w:val="22"/>
          <w:szCs w:val="22"/>
          <w:highlight w:val="none"/>
          <w:lang w:val="en-US" w:eastAsia="zh-CN"/>
        </w:rPr>
        <w:t xml:space="preserve">a specific SRS/CSI/CSI-RS resource or reporting configuration should be configured, which is simlar to TRS configuration for fast Scell activation. </w:t>
      </w:r>
    </w:p>
    <w:p w14:paraId="4405C369">
      <w:pPr>
        <w:pStyle w:val="34"/>
        <w:numPr>
          <w:ilvl w:val="0"/>
          <w:numId w:val="7"/>
        </w:numPr>
        <w:tabs>
          <w:tab w:val="left" w:pos="1701"/>
        </w:tabs>
        <w:spacing w:before="240" w:after="240" w:line="240" w:lineRule="auto"/>
        <w:ind w:left="1134" w:hanging="1134"/>
        <w:rPr>
          <w:rFonts w:hint="eastAsia" w:cs="Times New Roman"/>
          <w:i/>
          <w:iCs/>
          <w:sz w:val="22"/>
          <w:szCs w:val="22"/>
          <w:highlight w:val="none"/>
          <w:lang w:val="en-US" w:eastAsia="zh-CN"/>
        </w:rPr>
      </w:pPr>
      <w:r>
        <w:rPr>
          <w:rFonts w:hint="eastAsia" w:cs="Times New Roman"/>
          <w:i/>
          <w:iCs/>
          <w:sz w:val="22"/>
          <w:szCs w:val="22"/>
          <w:highlight w:val="none"/>
          <w:lang w:val="en-US" w:eastAsia="zh-CN"/>
        </w:rPr>
        <w:t>For early SRS/CSI/CSI-RS triggering in SCell, a specific SRS/CSI/CSI-RS resource or reporting configuration should be defined, similar to the TRS configuration for enabling fast SCell activation.</w:t>
      </w:r>
    </w:p>
    <w:p w14:paraId="7ED96BD8">
      <w:pPr>
        <w:pStyle w:val="34"/>
        <w:numPr>
          <w:ilvl w:val="0"/>
          <w:numId w:val="7"/>
        </w:numPr>
        <w:tabs>
          <w:tab w:val="left" w:pos="1701"/>
        </w:tabs>
        <w:spacing w:before="240" w:after="240" w:line="240" w:lineRule="auto"/>
        <w:ind w:left="1134" w:hanging="1134"/>
        <w:rPr>
          <w:rFonts w:hint="eastAsia" w:cs="Times New Roman"/>
          <w:i/>
          <w:iCs/>
          <w:sz w:val="22"/>
          <w:szCs w:val="22"/>
          <w:highlight w:val="none"/>
          <w:lang w:val="en-US" w:eastAsia="zh-CN"/>
        </w:rPr>
      </w:pPr>
      <w:r>
        <w:rPr>
          <w:rFonts w:hint="eastAsia" w:cs="Times New Roman"/>
          <w:i/>
          <w:iCs/>
          <w:sz w:val="22"/>
          <w:szCs w:val="22"/>
          <w:highlight w:val="none"/>
          <w:lang w:val="en-US" w:eastAsia="zh-CN"/>
        </w:rPr>
        <w:t>For early SRS/CSI/CSI-RS triggering in SCell, the time-domain behavior of SRS or CSI-RS resources can be configured as aperiodic or semi-persistent.</w:t>
      </w:r>
    </w:p>
    <w:p w14:paraId="3FEEE798">
      <w:pPr>
        <w:pStyle w:val="34"/>
        <w:numPr>
          <w:ilvl w:val="0"/>
          <w:numId w:val="7"/>
        </w:numPr>
        <w:tabs>
          <w:tab w:val="left" w:pos="1701"/>
        </w:tabs>
        <w:spacing w:before="240" w:after="240" w:line="240" w:lineRule="auto"/>
        <w:ind w:left="1134" w:hanging="1134"/>
        <w:rPr>
          <w:rFonts w:hint="eastAsia" w:cs="Times New Roman"/>
          <w:i/>
          <w:iCs/>
          <w:sz w:val="22"/>
          <w:szCs w:val="22"/>
          <w:highlight w:val="none"/>
          <w:lang w:val="en-US" w:eastAsia="zh-CN"/>
        </w:rPr>
      </w:pPr>
      <w:r>
        <w:rPr>
          <w:rFonts w:hint="eastAsia" w:cs="Times New Roman"/>
          <w:i/>
          <w:iCs/>
          <w:sz w:val="22"/>
          <w:szCs w:val="22"/>
          <w:highlight w:val="none"/>
          <w:lang w:val="en-US" w:eastAsia="zh-CN"/>
        </w:rPr>
        <w:t>:For early SRS/CSI/CSI-RS triggering in SCell, reuse the legacy SCell activation/deactivation MAC CE and add a field to distinguish whether the MAC CE can trigger SRS/CSI/CSI-RS measurement or reporting.</w:t>
      </w:r>
    </w:p>
    <w:p w14:paraId="38CEC66B">
      <w:pPr>
        <w:pStyle w:val="34"/>
        <w:numPr>
          <w:ilvl w:val="0"/>
          <w:numId w:val="7"/>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zh-CN" w:bidi="ar-SA"/>
        </w:rPr>
        <w:t>Introduce 1/3, 1/4, 1/6, 1/8 densities for CSI-RS (&lt;32 ports) to aggregate larger ports with consistent density</w:t>
      </w:r>
    </w:p>
    <w:p w14:paraId="1CCCFAD8">
      <w:pPr>
        <w:rPr>
          <w:lang w:eastAsia="zh-CN"/>
        </w:rPr>
      </w:pPr>
      <w:r>
        <w:rPr>
          <w:rFonts w:hint="eastAsia"/>
          <w:i/>
          <w:iCs/>
          <w:sz w:val="22"/>
          <w:szCs w:val="22"/>
          <w:highlight w:val="none"/>
          <w:lang w:val="en-US" w:eastAsia="zh-CN"/>
        </w:rPr>
        <w:t xml:space="preserve"> </w:t>
      </w:r>
    </w:p>
    <w:p w14:paraId="2991A910">
      <w:pPr>
        <w:pStyle w:val="2"/>
        <w:numPr>
          <w:ilvl w:val="0"/>
          <w:numId w:val="0"/>
        </w:numPr>
        <w:ind w:left="432" w:hanging="432"/>
      </w:pPr>
      <w:bookmarkStart w:id="5" w:name="_Ref71620620"/>
      <w:bookmarkStart w:id="6" w:name="_Ref124671424"/>
      <w:bookmarkStart w:id="7" w:name="_Ref124589665"/>
      <w:r>
        <w:t>References</w:t>
      </w:r>
    </w:p>
    <w:p w14:paraId="5A0FF506">
      <w:pPr>
        <w:numPr>
          <w:ilvl w:val="0"/>
          <w:numId w:val="9"/>
        </w:numPr>
        <w:rPr>
          <w:rFonts w:hint="eastAsia"/>
          <w:lang w:val="en-GB" w:eastAsia="zh-CN"/>
        </w:rPr>
      </w:pPr>
      <w:r>
        <w:rPr>
          <w:rFonts w:hint="default" w:eastAsia="宋体"/>
          <w:lang w:val="en-US" w:eastAsia="zh-CN"/>
        </w:rPr>
        <w:t>RP-251856</w:t>
      </w:r>
      <w:r>
        <w:rPr>
          <w:rFonts w:eastAsia="宋体"/>
          <w:lang w:val="en-GB" w:eastAsia="zh-CN"/>
        </w:rPr>
        <w:t>, New WID: NR MIMO Phase 6</w:t>
      </w:r>
      <w:r>
        <w:rPr>
          <w:rFonts w:hint="eastAsia" w:eastAsia="宋体"/>
          <w:lang w:val="en-US" w:eastAsia="zh-CN"/>
        </w:rPr>
        <w:t>,</w:t>
      </w:r>
      <w:r>
        <w:rPr>
          <w:rFonts w:eastAsia="宋体"/>
          <w:lang w:val="en-GB" w:eastAsia="zh-CN"/>
        </w:rPr>
        <w:t xml:space="preserve"> Prague, Czech Republic, June 9-13, 2025</w:t>
      </w:r>
      <w:bookmarkEnd w:id="4"/>
      <w:bookmarkEnd w:id="5"/>
      <w:bookmarkEnd w:id="6"/>
      <w:bookmarkEnd w:id="7"/>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6">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
  </w:num>
  <w:num w:numId="2">
    <w:abstractNumId w:val="0"/>
  </w:num>
  <w:num w:numId="3">
    <w:abstractNumId w:val="5"/>
  </w:num>
  <w:num w:numId="4">
    <w:abstractNumId w:val="2"/>
  </w:num>
  <w:num w:numId="5">
    <w:abstractNumId w:val="3"/>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1D"/>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2A6114"/>
    <w:rsid w:val="02146E67"/>
    <w:rsid w:val="02D2752A"/>
    <w:rsid w:val="04395ECC"/>
    <w:rsid w:val="04473600"/>
    <w:rsid w:val="044B7594"/>
    <w:rsid w:val="04AC7907"/>
    <w:rsid w:val="061340E1"/>
    <w:rsid w:val="0651595A"/>
    <w:rsid w:val="068104E9"/>
    <w:rsid w:val="075D06A0"/>
    <w:rsid w:val="07BE5F96"/>
    <w:rsid w:val="07D77390"/>
    <w:rsid w:val="07EF7D14"/>
    <w:rsid w:val="08B651F8"/>
    <w:rsid w:val="09E162A4"/>
    <w:rsid w:val="0A0F2E11"/>
    <w:rsid w:val="0A222B45"/>
    <w:rsid w:val="0A8F3F52"/>
    <w:rsid w:val="0AD00CD6"/>
    <w:rsid w:val="0B3A3EBE"/>
    <w:rsid w:val="0BA43F60"/>
    <w:rsid w:val="0BEB2C7F"/>
    <w:rsid w:val="0C9D12A3"/>
    <w:rsid w:val="0DCB75F9"/>
    <w:rsid w:val="0DD759F4"/>
    <w:rsid w:val="0E4F7C80"/>
    <w:rsid w:val="0F057031"/>
    <w:rsid w:val="0F1A5B71"/>
    <w:rsid w:val="0F275267"/>
    <w:rsid w:val="0F386966"/>
    <w:rsid w:val="0FB414F0"/>
    <w:rsid w:val="10655CF3"/>
    <w:rsid w:val="107A6B0B"/>
    <w:rsid w:val="10D82538"/>
    <w:rsid w:val="1138002B"/>
    <w:rsid w:val="11724F74"/>
    <w:rsid w:val="11B00A36"/>
    <w:rsid w:val="11C212A8"/>
    <w:rsid w:val="121F796A"/>
    <w:rsid w:val="127B309C"/>
    <w:rsid w:val="12E81295"/>
    <w:rsid w:val="12FD2134"/>
    <w:rsid w:val="13A4001D"/>
    <w:rsid w:val="143C0C23"/>
    <w:rsid w:val="14661880"/>
    <w:rsid w:val="14BA1BCC"/>
    <w:rsid w:val="150D6C9B"/>
    <w:rsid w:val="155F7836"/>
    <w:rsid w:val="15651DDF"/>
    <w:rsid w:val="15AF7257"/>
    <w:rsid w:val="15DD2016"/>
    <w:rsid w:val="160C0A32"/>
    <w:rsid w:val="161D0043"/>
    <w:rsid w:val="177A441B"/>
    <w:rsid w:val="17B9577E"/>
    <w:rsid w:val="17D82D43"/>
    <w:rsid w:val="17DE07C9"/>
    <w:rsid w:val="18550589"/>
    <w:rsid w:val="18A8690B"/>
    <w:rsid w:val="18FB229D"/>
    <w:rsid w:val="1919375C"/>
    <w:rsid w:val="196D1903"/>
    <w:rsid w:val="19704F4F"/>
    <w:rsid w:val="198033E4"/>
    <w:rsid w:val="1A787F29"/>
    <w:rsid w:val="1B212B46"/>
    <w:rsid w:val="1B5C3255"/>
    <w:rsid w:val="1BF4561F"/>
    <w:rsid w:val="1C05536E"/>
    <w:rsid w:val="1C9D24FF"/>
    <w:rsid w:val="1CE63B84"/>
    <w:rsid w:val="1D1C41F7"/>
    <w:rsid w:val="1DF8723B"/>
    <w:rsid w:val="1E127EC3"/>
    <w:rsid w:val="1E5D0198"/>
    <w:rsid w:val="1E915B8C"/>
    <w:rsid w:val="1F550E6F"/>
    <w:rsid w:val="205368CC"/>
    <w:rsid w:val="20C107E7"/>
    <w:rsid w:val="21156894"/>
    <w:rsid w:val="22C34341"/>
    <w:rsid w:val="23DD43FC"/>
    <w:rsid w:val="249920BA"/>
    <w:rsid w:val="24B8590D"/>
    <w:rsid w:val="24C50845"/>
    <w:rsid w:val="256E6C38"/>
    <w:rsid w:val="25BC1C48"/>
    <w:rsid w:val="25CC3A26"/>
    <w:rsid w:val="260D4251"/>
    <w:rsid w:val="261C4494"/>
    <w:rsid w:val="26976960"/>
    <w:rsid w:val="275B2D9A"/>
    <w:rsid w:val="27A97FAA"/>
    <w:rsid w:val="282910EA"/>
    <w:rsid w:val="287B6958"/>
    <w:rsid w:val="28B60BD0"/>
    <w:rsid w:val="28CB21A2"/>
    <w:rsid w:val="293E7518"/>
    <w:rsid w:val="2B6666EB"/>
    <w:rsid w:val="2BCA6741"/>
    <w:rsid w:val="2BF67180"/>
    <w:rsid w:val="2CB85D0E"/>
    <w:rsid w:val="2CBB4DDE"/>
    <w:rsid w:val="2E512907"/>
    <w:rsid w:val="2E7C1C5E"/>
    <w:rsid w:val="2EC622A9"/>
    <w:rsid w:val="2FEA7DBD"/>
    <w:rsid w:val="301E2CA7"/>
    <w:rsid w:val="30463532"/>
    <w:rsid w:val="308C0468"/>
    <w:rsid w:val="31126BC0"/>
    <w:rsid w:val="316D4170"/>
    <w:rsid w:val="32195D2C"/>
    <w:rsid w:val="33413084"/>
    <w:rsid w:val="339E7DD8"/>
    <w:rsid w:val="33B977C6"/>
    <w:rsid w:val="33D10F85"/>
    <w:rsid w:val="33FB03B1"/>
    <w:rsid w:val="342235BE"/>
    <w:rsid w:val="35BC17F0"/>
    <w:rsid w:val="379B16DB"/>
    <w:rsid w:val="37D95FAB"/>
    <w:rsid w:val="382D0E39"/>
    <w:rsid w:val="398203AB"/>
    <w:rsid w:val="398D772B"/>
    <w:rsid w:val="39E56EC5"/>
    <w:rsid w:val="3A824DB6"/>
    <w:rsid w:val="3B181276"/>
    <w:rsid w:val="3B820DE6"/>
    <w:rsid w:val="3B824942"/>
    <w:rsid w:val="3C1C4B91"/>
    <w:rsid w:val="3D125F3B"/>
    <w:rsid w:val="3D287BE4"/>
    <w:rsid w:val="3D8E5820"/>
    <w:rsid w:val="3E3948A1"/>
    <w:rsid w:val="3ED41931"/>
    <w:rsid w:val="40784565"/>
    <w:rsid w:val="412D70FE"/>
    <w:rsid w:val="41F5553B"/>
    <w:rsid w:val="42033200"/>
    <w:rsid w:val="42892A5A"/>
    <w:rsid w:val="42C66F16"/>
    <w:rsid w:val="42FC2DB6"/>
    <w:rsid w:val="431C4AFF"/>
    <w:rsid w:val="434C0DE9"/>
    <w:rsid w:val="4354177E"/>
    <w:rsid w:val="43A55671"/>
    <w:rsid w:val="44EA49C0"/>
    <w:rsid w:val="44F971E5"/>
    <w:rsid w:val="456D0411"/>
    <w:rsid w:val="45E65C46"/>
    <w:rsid w:val="47CA56A6"/>
    <w:rsid w:val="48D662CD"/>
    <w:rsid w:val="48DB1D9C"/>
    <w:rsid w:val="496717F9"/>
    <w:rsid w:val="4AA84B5C"/>
    <w:rsid w:val="4AD64873"/>
    <w:rsid w:val="4B564888"/>
    <w:rsid w:val="4BE156B5"/>
    <w:rsid w:val="4CE06FC7"/>
    <w:rsid w:val="4D785BA5"/>
    <w:rsid w:val="4DED20EF"/>
    <w:rsid w:val="4E741D2F"/>
    <w:rsid w:val="4E836CEC"/>
    <w:rsid w:val="4E9B7D9D"/>
    <w:rsid w:val="4F060412"/>
    <w:rsid w:val="504A1A7A"/>
    <w:rsid w:val="50E177E0"/>
    <w:rsid w:val="50E7594A"/>
    <w:rsid w:val="50F71351"/>
    <w:rsid w:val="51D04F1B"/>
    <w:rsid w:val="51EB0D32"/>
    <w:rsid w:val="52160612"/>
    <w:rsid w:val="523227C6"/>
    <w:rsid w:val="526856F0"/>
    <w:rsid w:val="53DD5244"/>
    <w:rsid w:val="53FC752F"/>
    <w:rsid w:val="54C46D2D"/>
    <w:rsid w:val="54D47B64"/>
    <w:rsid w:val="54D70EDA"/>
    <w:rsid w:val="54FD2AA7"/>
    <w:rsid w:val="558716C7"/>
    <w:rsid w:val="558E1350"/>
    <w:rsid w:val="559C18D0"/>
    <w:rsid w:val="56786C15"/>
    <w:rsid w:val="57BC3869"/>
    <w:rsid w:val="57D32355"/>
    <w:rsid w:val="57D4431F"/>
    <w:rsid w:val="57EA769F"/>
    <w:rsid w:val="58BE77D8"/>
    <w:rsid w:val="59372DB8"/>
    <w:rsid w:val="595C281E"/>
    <w:rsid w:val="597B1864"/>
    <w:rsid w:val="5A517EA9"/>
    <w:rsid w:val="5A737E20"/>
    <w:rsid w:val="5B942355"/>
    <w:rsid w:val="5BA41DFE"/>
    <w:rsid w:val="5C052CF9"/>
    <w:rsid w:val="5C2A783E"/>
    <w:rsid w:val="5CAC7619"/>
    <w:rsid w:val="5D011713"/>
    <w:rsid w:val="5D911DBC"/>
    <w:rsid w:val="5ED521CC"/>
    <w:rsid w:val="5F3A45D1"/>
    <w:rsid w:val="5FA42829"/>
    <w:rsid w:val="5FD21144"/>
    <w:rsid w:val="603F692C"/>
    <w:rsid w:val="60557755"/>
    <w:rsid w:val="60667BB6"/>
    <w:rsid w:val="61293C2F"/>
    <w:rsid w:val="618828A9"/>
    <w:rsid w:val="61972646"/>
    <w:rsid w:val="61AC1296"/>
    <w:rsid w:val="62B15989"/>
    <w:rsid w:val="62C3746A"/>
    <w:rsid w:val="630E3852"/>
    <w:rsid w:val="64062AB6"/>
    <w:rsid w:val="64281C7B"/>
    <w:rsid w:val="6477050C"/>
    <w:rsid w:val="653D05C3"/>
    <w:rsid w:val="655B7E2E"/>
    <w:rsid w:val="655D7702"/>
    <w:rsid w:val="65C0156C"/>
    <w:rsid w:val="662841B4"/>
    <w:rsid w:val="665C20B0"/>
    <w:rsid w:val="689351E4"/>
    <w:rsid w:val="68A14D4D"/>
    <w:rsid w:val="68FE7BE4"/>
    <w:rsid w:val="6A49572E"/>
    <w:rsid w:val="6ADF5158"/>
    <w:rsid w:val="6B2C02A3"/>
    <w:rsid w:val="6B9419A4"/>
    <w:rsid w:val="6BDD031E"/>
    <w:rsid w:val="6C0C0548"/>
    <w:rsid w:val="6D20685D"/>
    <w:rsid w:val="6D376648"/>
    <w:rsid w:val="6D627650"/>
    <w:rsid w:val="6DE969E3"/>
    <w:rsid w:val="6DFF3AF0"/>
    <w:rsid w:val="6EA445F4"/>
    <w:rsid w:val="709D754D"/>
    <w:rsid w:val="70D71779"/>
    <w:rsid w:val="717E112C"/>
    <w:rsid w:val="71F728EF"/>
    <w:rsid w:val="7206464C"/>
    <w:rsid w:val="72551554"/>
    <w:rsid w:val="72B6607D"/>
    <w:rsid w:val="72D27981"/>
    <w:rsid w:val="73A73116"/>
    <w:rsid w:val="73FA6E79"/>
    <w:rsid w:val="74363F40"/>
    <w:rsid w:val="74910929"/>
    <w:rsid w:val="755C3532"/>
    <w:rsid w:val="75970ABF"/>
    <w:rsid w:val="75EC7A54"/>
    <w:rsid w:val="762878B8"/>
    <w:rsid w:val="769509C9"/>
    <w:rsid w:val="776534C5"/>
    <w:rsid w:val="778C124A"/>
    <w:rsid w:val="780C2A3E"/>
    <w:rsid w:val="787A3DD8"/>
    <w:rsid w:val="78F07D11"/>
    <w:rsid w:val="79411632"/>
    <w:rsid w:val="79927E6B"/>
    <w:rsid w:val="7A512115"/>
    <w:rsid w:val="7AD85EF1"/>
    <w:rsid w:val="7B230D85"/>
    <w:rsid w:val="7BC462D5"/>
    <w:rsid w:val="7BEE6EAE"/>
    <w:rsid w:val="7DCC7C86"/>
    <w:rsid w:val="7EE0342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1"/>
    <w:next w:val="1"/>
    <w:link w:val="68"/>
    <w:qFormat/>
    <w:uiPriority w:val="0"/>
    <w:pPr>
      <w:keepNext/>
      <w:numPr>
        <w:ilvl w:val="1"/>
        <w:numId w:val="1"/>
      </w:numPr>
      <w:spacing w:before="120"/>
      <w:outlineLvl w:val="1"/>
    </w:pPr>
    <w:rPr>
      <w:b/>
      <w:bCs/>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4"/>
    <w:next w:val="1"/>
    <w:link w:val="73"/>
    <w:autoRedefine/>
    <w:qFormat/>
    <w:uiPriority w:val="0"/>
    <w:pPr>
      <w:keepNext/>
      <w:numPr>
        <w:ilvl w:val="3"/>
        <w:numId w:val="1"/>
      </w:numPr>
      <w:tabs>
        <w:tab w:val="clear" w:pos="720"/>
      </w:tabs>
      <w:spacing w:before="120"/>
      <w:outlineLvl w:val="3"/>
    </w:pPr>
    <w:rPr>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4</Pages>
  <Words>1525</Words>
  <Characters>7706</Characters>
  <Lines>117</Lines>
  <Paragraphs>33</Paragraphs>
  <TotalTime>0</TotalTime>
  <ScaleCrop>false</ScaleCrop>
  <LinksUpToDate>false</LinksUpToDate>
  <CharactersWithSpaces>8983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2025-08-15T15:54:29Z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2052-12.1.0.21915</vt:lpwstr>
  </property>
  <property fmtid="{D5CDD505-2E9C-101B-9397-08002B2CF9AE}" pid="10" name="ICV">
    <vt:lpwstr>C7E48EF5A6E54B4BAC3DA4EE69C801B7_13</vt:lpwstr>
  </property>
  <property fmtid="{D5CDD505-2E9C-101B-9397-08002B2CF9AE}" pid="11" name="KSOTemplateDocerSaveRecord">
    <vt:lpwstr>eyJoZGlkIjoiNWYwMmU5YzkwNjFmNzI1Njk4ZjczMWMxOTZlMzdhNTQiLCJ1c2VySWQiOiIxNDkxOTYwMzU0In0=</vt:lpwstr>
  </property>
</Properties>
</file>